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EE3A2D" w14:textId="3529A493" w:rsidR="00D65AFC" w:rsidRDefault="00766602">
      <w:pPr>
        <w:rPr>
          <w:b/>
          <w:bCs/>
          <w:noProof/>
          <w:color w:val="000000" w:themeColor="text1"/>
          <w:sz w:val="36"/>
          <w:szCs w:val="36"/>
          <w:u w:val="single"/>
        </w:rPr>
      </w:pPr>
      <w:r w:rsidRPr="00D65AFC">
        <w:rPr>
          <w:b/>
          <w:bCs/>
          <w:noProof/>
          <w:color w:val="000000" w:themeColor="text1"/>
          <w:sz w:val="32"/>
          <w:szCs w:val="32"/>
          <w:u w:val="single"/>
        </w:rPr>
        <w:drawing>
          <wp:anchor distT="0" distB="0" distL="114300" distR="114300" simplePos="0" relativeHeight="251658240" behindDoc="1" locked="0" layoutInCell="1" allowOverlap="1" wp14:anchorId="11B6B289" wp14:editId="2D5C22B3">
            <wp:simplePos x="0" y="0"/>
            <wp:positionH relativeFrom="margin">
              <wp:align>center</wp:align>
            </wp:positionH>
            <wp:positionV relativeFrom="paragraph">
              <wp:posOffset>6350</wp:posOffset>
            </wp:positionV>
            <wp:extent cx="2091690" cy="684530"/>
            <wp:effectExtent l="0" t="0" r="3810" b="1270"/>
            <wp:wrapTight wrapText="bothSides">
              <wp:wrapPolygon edited="0">
                <wp:start x="0" y="0"/>
                <wp:lineTo x="0" y="21039"/>
                <wp:lineTo x="21443" y="21039"/>
                <wp:lineTo x="21443" y="0"/>
                <wp:lineTo x="0" y="0"/>
              </wp:wrapPolygon>
            </wp:wrapTight>
            <wp:docPr id="152385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58380" name="Picture 15238583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1690" cy="684530"/>
                    </a:xfrm>
                    <a:prstGeom prst="rect">
                      <a:avLst/>
                    </a:prstGeom>
                  </pic:spPr>
                </pic:pic>
              </a:graphicData>
            </a:graphic>
            <wp14:sizeRelH relativeFrom="page">
              <wp14:pctWidth>0</wp14:pctWidth>
            </wp14:sizeRelH>
            <wp14:sizeRelV relativeFrom="page">
              <wp14:pctHeight>0</wp14:pctHeight>
            </wp14:sizeRelV>
          </wp:anchor>
        </w:drawing>
      </w:r>
      <w:r w:rsidR="00BC23F2">
        <w:rPr>
          <w:noProof/>
        </w:rPr>
        <mc:AlternateContent>
          <mc:Choice Requires="wps">
            <w:drawing>
              <wp:anchor distT="0" distB="0" distL="114300" distR="114300" simplePos="0" relativeHeight="251669504" behindDoc="0" locked="0" layoutInCell="1" allowOverlap="1" wp14:anchorId="780F07A6" wp14:editId="71052C5F">
                <wp:simplePos x="0" y="0"/>
                <wp:positionH relativeFrom="page">
                  <wp:posOffset>11430</wp:posOffset>
                </wp:positionH>
                <wp:positionV relativeFrom="paragraph">
                  <wp:posOffset>-676910</wp:posOffset>
                </wp:positionV>
                <wp:extent cx="158115" cy="10037445"/>
                <wp:effectExtent l="0" t="0" r="13335" b="20955"/>
                <wp:wrapNone/>
                <wp:docPr id="685324315" name="Rectangle 2"/>
                <wp:cNvGraphicFramePr/>
                <a:graphic xmlns:a="http://schemas.openxmlformats.org/drawingml/2006/main">
                  <a:graphicData uri="http://schemas.microsoft.com/office/word/2010/wordprocessingShape">
                    <wps:wsp>
                      <wps:cNvSpPr/>
                      <wps:spPr>
                        <a:xfrm>
                          <a:off x="0" y="0"/>
                          <a:ext cx="158115" cy="10037445"/>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E0E42" id="Rectangle 2" o:spid="_x0000_s1026" style="position:absolute;margin-left:.9pt;margin-top:-53.3pt;width:12.45pt;height:790.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" fillcolor="#1f4d78 [1608]" strokecolor="#1f4d78 [1608]" strokeweight="1pt">
                <w10:wrap anchorx="page"/>
              </v:rect>
            </w:pict>
          </mc:Fallback>
        </mc:AlternateContent>
      </w:r>
      <w:r w:rsidR="00BC23F2">
        <w:rPr>
          <w:noProof/>
        </w:rPr>
        <mc:AlternateContent>
          <mc:Choice Requires="wps">
            <w:drawing>
              <wp:anchor distT="0" distB="0" distL="114300" distR="114300" simplePos="0" relativeHeight="251668480" behindDoc="0" locked="0" layoutInCell="1" allowOverlap="1" wp14:anchorId="7DFF9BDD" wp14:editId="4A65A3B5">
                <wp:simplePos x="0" y="0"/>
                <wp:positionH relativeFrom="page">
                  <wp:posOffset>7600950</wp:posOffset>
                </wp:positionH>
                <wp:positionV relativeFrom="paragraph">
                  <wp:posOffset>-678873</wp:posOffset>
                </wp:positionV>
                <wp:extent cx="158262" cy="10037619"/>
                <wp:effectExtent l="0" t="0" r="13335" b="20955"/>
                <wp:wrapNone/>
                <wp:docPr id="292654720" name="Rectangle 2"/>
                <wp:cNvGraphicFramePr/>
                <a:graphic xmlns:a="http://schemas.openxmlformats.org/drawingml/2006/main">
                  <a:graphicData uri="http://schemas.microsoft.com/office/word/2010/wordprocessingShape">
                    <wps:wsp>
                      <wps:cNvSpPr/>
                      <wps:spPr>
                        <a:xfrm>
                          <a:off x="0" y="0"/>
                          <a:ext cx="158262" cy="10037619"/>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DFF9B" id="Rectangle 2" o:spid="_x0000_s1026" style="position:absolute;margin-left:598.5pt;margin-top:-53.45pt;width:12.45pt;height:790.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" fillcolor="#1f4d78 [1608]" strokecolor="#1f4d78 [1608]" strokeweight="1pt">
                <w10:wrap anchorx="page"/>
              </v:rect>
            </w:pict>
          </mc:Fallback>
        </mc:AlternateContent>
      </w:r>
    </w:p>
    <w:p w14:paraId="75598639" w14:textId="1CA46B5C" w:rsidR="00D65AFC" w:rsidRDefault="00D65AFC">
      <w:pPr>
        <w:rPr>
          <w:b/>
          <w:bCs/>
          <w:color w:val="000000" w:themeColor="text1"/>
          <w:sz w:val="36"/>
          <w:szCs w:val="36"/>
          <w:u w:val="single"/>
        </w:rPr>
      </w:pPr>
    </w:p>
    <w:p w14:paraId="3A69CD2A" w14:textId="77777777" w:rsidR="00BC23F2" w:rsidRDefault="00BC23F2">
      <w:pPr>
        <w:rPr>
          <w:b/>
          <w:bCs/>
          <w:color w:val="000000" w:themeColor="text1"/>
          <w:sz w:val="36"/>
          <w:szCs w:val="36"/>
          <w:u w:val="single"/>
        </w:rPr>
      </w:pPr>
    </w:p>
    <w:p w14:paraId="0B0DBEA3" w14:textId="07F087D9" w:rsidR="003537A4" w:rsidRPr="00D02A6B" w:rsidRDefault="00CC2C70">
      <w:pPr>
        <w:rPr>
          <w:rFonts w:ascii="Rockwell Extra Bold" w:hAnsi="Rockwell Extra Bold"/>
          <w:b/>
          <w:bCs/>
          <w:color w:val="000000" w:themeColor="text1"/>
          <w:sz w:val="36"/>
          <w:szCs w:val="36"/>
          <w:u w:val="single"/>
        </w:rPr>
      </w:pPr>
      <w:r w:rsidRPr="00D02A6B">
        <w:rPr>
          <w:rFonts w:ascii="Rockwell Extra Bold" w:hAnsi="Rockwell Extra Bold"/>
          <w:b/>
          <w:bCs/>
          <w:color w:val="000000" w:themeColor="text1"/>
          <w:sz w:val="36"/>
          <w:szCs w:val="36"/>
          <w:u w:val="single"/>
        </w:rPr>
        <w:t>Overview</w:t>
      </w:r>
    </w:p>
    <w:p w14:paraId="7C99E222" w14:textId="57B0ABAE" w:rsidR="00C07A0B" w:rsidRPr="00D65AFC" w:rsidRDefault="00CC2C70" w:rsidP="008C07FE">
      <w:pPr>
        <w:jc w:val="both"/>
        <w:rPr>
          <w:rFonts w:cstheme="minorHAnsi"/>
          <w:color w:val="000000" w:themeColor="text1"/>
        </w:rPr>
      </w:pPr>
      <w:r w:rsidRPr="00D65AFC">
        <w:rPr>
          <w:rFonts w:cstheme="minorHAnsi"/>
          <w:color w:val="000000" w:themeColor="text1"/>
        </w:rPr>
        <w:t>Orbis Financial Corporation is a financial service provider which helps its client in providing various types of services. It provides services and solutions to institutional clients like Foreign Portfolio Investors (FPI), Alternate Investment Funds (AIFs), and Domestic Institutional Investors (DIIs).</w:t>
      </w:r>
      <w:r w:rsidR="00C07A0B" w:rsidRPr="00D65AFC">
        <w:rPr>
          <w:rFonts w:cstheme="minorHAnsi"/>
          <w:color w:val="000000" w:themeColor="text1"/>
        </w:rPr>
        <w:t xml:space="preserve"> It provides different types of services such as </w:t>
      </w:r>
      <w:hyperlink r:id="rId8" w:history="1">
        <w:r w:rsidR="00C07A0B" w:rsidRPr="00D65AFC">
          <w:rPr>
            <w:rStyle w:val="Hyperlink"/>
            <w:rFonts w:cstheme="minorHAnsi"/>
            <w:color w:val="000000" w:themeColor="text1"/>
            <w:u w:val="none"/>
          </w:rPr>
          <w:t>Designated Depository Participant Services ( DDP)</w:t>
        </w:r>
      </w:hyperlink>
      <w:r w:rsidR="00C07A0B" w:rsidRPr="00D65AFC">
        <w:rPr>
          <w:rFonts w:cstheme="minorHAnsi"/>
          <w:color w:val="000000" w:themeColor="text1"/>
        </w:rPr>
        <w:t xml:space="preserve">, </w:t>
      </w:r>
      <w:hyperlink r:id="rId9" w:history="1">
        <w:r w:rsidR="00C07A0B" w:rsidRPr="00D65AFC">
          <w:rPr>
            <w:rStyle w:val="Hyperlink"/>
            <w:rFonts w:cstheme="minorHAnsi"/>
            <w:color w:val="000000" w:themeColor="text1"/>
            <w:u w:val="none"/>
          </w:rPr>
          <w:t>Custody &amp; Depository Services</w:t>
        </w:r>
      </w:hyperlink>
      <w:r w:rsidR="00C07A0B" w:rsidRPr="00D65AFC">
        <w:rPr>
          <w:rFonts w:cstheme="minorHAnsi"/>
          <w:color w:val="000000" w:themeColor="text1"/>
        </w:rPr>
        <w:t xml:space="preserve">, </w:t>
      </w:r>
      <w:hyperlink r:id="rId10" w:history="1">
        <w:r w:rsidR="00C07A0B" w:rsidRPr="00D65AFC">
          <w:rPr>
            <w:rStyle w:val="Hyperlink"/>
            <w:rFonts w:cstheme="minorHAnsi"/>
            <w:color w:val="000000" w:themeColor="text1"/>
            <w:u w:val="none"/>
          </w:rPr>
          <w:t>Fund Accounting Services</w:t>
        </w:r>
      </w:hyperlink>
      <w:r w:rsidR="00C07A0B" w:rsidRPr="00D65AFC">
        <w:rPr>
          <w:rFonts w:cstheme="minorHAnsi"/>
          <w:color w:val="000000" w:themeColor="text1"/>
        </w:rPr>
        <w:t xml:space="preserve">, </w:t>
      </w:r>
      <w:hyperlink r:id="rId11" w:history="1">
        <w:r w:rsidR="00C07A0B" w:rsidRPr="00D65AFC">
          <w:rPr>
            <w:rStyle w:val="Hyperlink"/>
            <w:rFonts w:cstheme="minorHAnsi"/>
            <w:color w:val="000000" w:themeColor="text1"/>
            <w:u w:val="none"/>
          </w:rPr>
          <w:t>Derivative Clearing Services</w:t>
        </w:r>
      </w:hyperlink>
      <w:r w:rsidR="00C07A0B" w:rsidRPr="00D65AFC">
        <w:rPr>
          <w:rFonts w:cstheme="minorHAnsi"/>
          <w:color w:val="000000" w:themeColor="text1"/>
        </w:rPr>
        <w:t xml:space="preserve">, </w:t>
      </w:r>
      <w:hyperlink r:id="rId12" w:history="1">
        <w:r w:rsidR="00C07A0B" w:rsidRPr="00D65AFC">
          <w:rPr>
            <w:rStyle w:val="Hyperlink"/>
            <w:rFonts w:cstheme="minorHAnsi"/>
            <w:color w:val="000000" w:themeColor="text1"/>
            <w:u w:val="none"/>
          </w:rPr>
          <w:t>Escrow Services for Securities</w:t>
        </w:r>
      </w:hyperlink>
      <w:r w:rsidR="00C07A0B" w:rsidRPr="00D65AFC">
        <w:rPr>
          <w:rFonts w:cstheme="minorHAnsi"/>
          <w:color w:val="000000" w:themeColor="text1"/>
        </w:rPr>
        <w:t xml:space="preserve">, </w:t>
      </w:r>
      <w:hyperlink r:id="rId13" w:history="1">
        <w:r w:rsidR="00C07A0B" w:rsidRPr="00D65AFC">
          <w:rPr>
            <w:rStyle w:val="Hyperlink"/>
            <w:rFonts w:cstheme="minorHAnsi"/>
            <w:color w:val="000000" w:themeColor="text1"/>
            <w:u w:val="none"/>
          </w:rPr>
          <w:t>Trusteeship Services</w:t>
        </w:r>
      </w:hyperlink>
      <w:r w:rsidR="00C07A0B" w:rsidRPr="00D65AFC">
        <w:rPr>
          <w:rFonts w:cstheme="minorHAnsi"/>
          <w:color w:val="000000" w:themeColor="text1"/>
        </w:rPr>
        <w:t xml:space="preserve">, </w:t>
      </w:r>
      <w:hyperlink r:id="rId14" w:history="1">
        <w:r w:rsidR="00C07A0B" w:rsidRPr="00D65AFC">
          <w:rPr>
            <w:rStyle w:val="Hyperlink"/>
            <w:rFonts w:cstheme="minorHAnsi"/>
            <w:color w:val="000000" w:themeColor="text1"/>
            <w:u w:val="none"/>
          </w:rPr>
          <w:t>Registrar &amp; Share Transfer Agency Services (RTA Services)</w:t>
        </w:r>
      </w:hyperlink>
      <w:r w:rsidR="00C07A0B" w:rsidRPr="00D65AFC">
        <w:rPr>
          <w:rStyle w:val="Hyperlink"/>
          <w:rFonts w:cstheme="minorHAnsi"/>
          <w:color w:val="000000" w:themeColor="text1"/>
          <w:u w:val="none"/>
        </w:rPr>
        <w:t>.</w:t>
      </w:r>
    </w:p>
    <w:p w14:paraId="6014E968" w14:textId="05507319" w:rsidR="00CC2C70" w:rsidRPr="008C07FE" w:rsidRDefault="005561FC">
      <w:pPr>
        <w:rPr>
          <w:b/>
          <w:bCs/>
          <w:color w:val="000000" w:themeColor="text1"/>
          <w:sz w:val="36"/>
          <w:szCs w:val="36"/>
          <w:u w:val="single"/>
        </w:rPr>
      </w:pPr>
      <w:r w:rsidRPr="00D02A6B">
        <w:rPr>
          <w:rFonts w:ascii="Rockwell Extra Bold" w:hAnsi="Rockwell Extra Bold"/>
          <w:b/>
          <w:bCs/>
          <w:color w:val="000000" w:themeColor="text1"/>
          <w:sz w:val="36"/>
          <w:szCs w:val="36"/>
          <w:u w:val="single"/>
        </w:rPr>
        <w:t>Financial</w:t>
      </w:r>
      <w:r w:rsidRPr="008C07FE">
        <w:rPr>
          <w:b/>
          <w:bCs/>
          <w:color w:val="000000" w:themeColor="text1"/>
          <w:sz w:val="36"/>
          <w:szCs w:val="36"/>
          <w:u w:val="single"/>
        </w:rPr>
        <w:t xml:space="preserve"> </w:t>
      </w:r>
      <w:r w:rsidRPr="00D02A6B">
        <w:rPr>
          <w:rFonts w:ascii="Rockwell Extra Bold" w:hAnsi="Rockwell Extra Bold"/>
          <w:b/>
          <w:bCs/>
          <w:color w:val="000000" w:themeColor="text1"/>
          <w:sz w:val="36"/>
          <w:szCs w:val="36"/>
          <w:u w:val="single"/>
        </w:rPr>
        <w:t>Highlight</w:t>
      </w:r>
    </w:p>
    <w:tbl>
      <w:tblPr>
        <w:tblStyle w:val="GridTable4-Accent5"/>
        <w:tblW w:w="0" w:type="auto"/>
        <w:tblLook w:val="04A0" w:firstRow="1" w:lastRow="0" w:firstColumn="1" w:lastColumn="0" w:noHBand="0" w:noVBand="1"/>
      </w:tblPr>
      <w:tblGrid>
        <w:gridCol w:w="1779"/>
        <w:gridCol w:w="1515"/>
        <w:gridCol w:w="1514"/>
        <w:gridCol w:w="1514"/>
        <w:gridCol w:w="1514"/>
        <w:gridCol w:w="1514"/>
      </w:tblGrid>
      <w:tr w:rsidR="008C07FE" w:rsidRPr="008C07FE" w14:paraId="5246079E" w14:textId="311359F7" w:rsidTr="00D02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78360556" w14:textId="783B75D8" w:rsidR="005561FC" w:rsidRPr="008C07FE" w:rsidRDefault="005561FC" w:rsidP="005561FC">
            <w:pPr>
              <w:jc w:val="center"/>
              <w:rPr>
                <w:b w:val="0"/>
                <w:bCs w:val="0"/>
                <w:color w:val="000000" w:themeColor="text1"/>
                <w:sz w:val="28"/>
                <w:szCs w:val="28"/>
              </w:rPr>
            </w:pPr>
            <w:r w:rsidRPr="008C07FE">
              <w:rPr>
                <w:color w:val="000000" w:themeColor="text1"/>
                <w:sz w:val="28"/>
                <w:szCs w:val="28"/>
              </w:rPr>
              <w:t>Particulars</w:t>
            </w:r>
          </w:p>
        </w:tc>
        <w:tc>
          <w:tcPr>
            <w:tcW w:w="1515" w:type="dxa"/>
          </w:tcPr>
          <w:p w14:paraId="4B77AE86" w14:textId="60A48DCD" w:rsidR="005561FC" w:rsidRPr="008C07FE" w:rsidRDefault="005561FC" w:rsidP="005561FC">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rPr>
            </w:pPr>
            <w:r w:rsidRPr="008C07FE">
              <w:rPr>
                <w:color w:val="000000" w:themeColor="text1"/>
                <w:sz w:val="28"/>
                <w:szCs w:val="28"/>
              </w:rPr>
              <w:t>2020</w:t>
            </w:r>
          </w:p>
        </w:tc>
        <w:tc>
          <w:tcPr>
            <w:tcW w:w="1514" w:type="dxa"/>
          </w:tcPr>
          <w:p w14:paraId="496F354D" w14:textId="7E4D9309" w:rsidR="005561FC" w:rsidRPr="008C07FE" w:rsidRDefault="005561FC" w:rsidP="005561FC">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rPr>
            </w:pPr>
            <w:r w:rsidRPr="008C07FE">
              <w:rPr>
                <w:color w:val="000000" w:themeColor="text1"/>
                <w:sz w:val="28"/>
                <w:szCs w:val="28"/>
              </w:rPr>
              <w:t>2021</w:t>
            </w:r>
          </w:p>
        </w:tc>
        <w:tc>
          <w:tcPr>
            <w:tcW w:w="1514" w:type="dxa"/>
          </w:tcPr>
          <w:p w14:paraId="4A5CB705" w14:textId="5040BDD3" w:rsidR="005561FC" w:rsidRPr="008C07FE" w:rsidRDefault="005561FC" w:rsidP="005561FC">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rPr>
            </w:pPr>
            <w:r w:rsidRPr="008C07FE">
              <w:rPr>
                <w:color w:val="000000" w:themeColor="text1"/>
                <w:sz w:val="28"/>
                <w:szCs w:val="28"/>
              </w:rPr>
              <w:t>2022</w:t>
            </w:r>
          </w:p>
        </w:tc>
        <w:tc>
          <w:tcPr>
            <w:tcW w:w="1514" w:type="dxa"/>
          </w:tcPr>
          <w:p w14:paraId="61E611CE" w14:textId="00355A62" w:rsidR="005561FC" w:rsidRPr="008C07FE" w:rsidRDefault="005561FC" w:rsidP="005561FC">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rPr>
            </w:pPr>
            <w:r w:rsidRPr="008C07FE">
              <w:rPr>
                <w:color w:val="000000" w:themeColor="text1"/>
                <w:sz w:val="28"/>
                <w:szCs w:val="28"/>
              </w:rPr>
              <w:t>2023</w:t>
            </w:r>
          </w:p>
        </w:tc>
        <w:tc>
          <w:tcPr>
            <w:tcW w:w="1514" w:type="dxa"/>
          </w:tcPr>
          <w:p w14:paraId="4E6F17E5" w14:textId="4225AC1F" w:rsidR="005561FC" w:rsidRPr="008C07FE" w:rsidRDefault="005561FC" w:rsidP="005561FC">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rPr>
            </w:pPr>
            <w:r w:rsidRPr="008C07FE">
              <w:rPr>
                <w:color w:val="000000" w:themeColor="text1"/>
                <w:sz w:val="28"/>
                <w:szCs w:val="28"/>
              </w:rPr>
              <w:t>2024</w:t>
            </w:r>
          </w:p>
        </w:tc>
      </w:tr>
      <w:tr w:rsidR="008C07FE" w:rsidRPr="008C07FE" w14:paraId="79DC0C1B" w14:textId="16F48AC1" w:rsidTr="00D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639F14EF" w14:textId="2B38AD65" w:rsidR="005561FC" w:rsidRPr="00D65AFC" w:rsidRDefault="005561FC" w:rsidP="005561FC">
            <w:pPr>
              <w:jc w:val="center"/>
              <w:rPr>
                <w:color w:val="000000" w:themeColor="text1"/>
              </w:rPr>
            </w:pPr>
            <w:r w:rsidRPr="00D65AFC">
              <w:rPr>
                <w:color w:val="000000" w:themeColor="text1"/>
              </w:rPr>
              <w:t>Total Income</w:t>
            </w:r>
          </w:p>
        </w:tc>
        <w:tc>
          <w:tcPr>
            <w:tcW w:w="1515" w:type="dxa"/>
          </w:tcPr>
          <w:p w14:paraId="68F2FB2D" w14:textId="3EC1AF16" w:rsidR="005561FC" w:rsidRPr="00D65AFC" w:rsidRDefault="005561FC"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43.8</w:t>
            </w:r>
          </w:p>
        </w:tc>
        <w:tc>
          <w:tcPr>
            <w:tcW w:w="1514" w:type="dxa"/>
          </w:tcPr>
          <w:p w14:paraId="4C9ACBD5" w14:textId="19D74B0F"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86.5</w:t>
            </w:r>
          </w:p>
        </w:tc>
        <w:tc>
          <w:tcPr>
            <w:tcW w:w="1514" w:type="dxa"/>
          </w:tcPr>
          <w:p w14:paraId="698A8617" w14:textId="33C9960D"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191</w:t>
            </w:r>
          </w:p>
        </w:tc>
        <w:tc>
          <w:tcPr>
            <w:tcW w:w="1514" w:type="dxa"/>
          </w:tcPr>
          <w:p w14:paraId="024706C9" w14:textId="41784F68"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300</w:t>
            </w:r>
          </w:p>
        </w:tc>
        <w:tc>
          <w:tcPr>
            <w:tcW w:w="1514" w:type="dxa"/>
          </w:tcPr>
          <w:p w14:paraId="3E7BCA6E" w14:textId="77E99A0E"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431</w:t>
            </w:r>
          </w:p>
        </w:tc>
      </w:tr>
      <w:tr w:rsidR="008C07FE" w:rsidRPr="008C07FE" w14:paraId="4126C2BE" w14:textId="2E11C045" w:rsidTr="00D02A6B">
        <w:tc>
          <w:tcPr>
            <w:cnfStyle w:val="001000000000" w:firstRow="0" w:lastRow="0" w:firstColumn="1" w:lastColumn="0" w:oddVBand="0" w:evenVBand="0" w:oddHBand="0" w:evenHBand="0" w:firstRowFirstColumn="0" w:firstRowLastColumn="0" w:lastRowFirstColumn="0" w:lastRowLastColumn="0"/>
            <w:tcW w:w="1779" w:type="dxa"/>
          </w:tcPr>
          <w:p w14:paraId="09C965C5" w14:textId="2F3B40CD" w:rsidR="005561FC" w:rsidRPr="00D65AFC" w:rsidRDefault="005561FC" w:rsidP="005561FC">
            <w:pPr>
              <w:jc w:val="center"/>
              <w:rPr>
                <w:color w:val="000000" w:themeColor="text1"/>
              </w:rPr>
            </w:pPr>
            <w:r w:rsidRPr="00D65AFC">
              <w:rPr>
                <w:color w:val="000000" w:themeColor="text1"/>
              </w:rPr>
              <w:t>PAT (Cr)</w:t>
            </w:r>
          </w:p>
        </w:tc>
        <w:tc>
          <w:tcPr>
            <w:tcW w:w="1515" w:type="dxa"/>
          </w:tcPr>
          <w:p w14:paraId="0E51E7A6" w14:textId="05AFD59B" w:rsidR="005561FC" w:rsidRPr="00D65AFC" w:rsidRDefault="005561FC"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11.5</w:t>
            </w:r>
          </w:p>
        </w:tc>
        <w:tc>
          <w:tcPr>
            <w:tcW w:w="1514" w:type="dxa"/>
          </w:tcPr>
          <w:p w14:paraId="77307DCE" w14:textId="5C2EEE7B"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15.9</w:t>
            </w:r>
          </w:p>
        </w:tc>
        <w:tc>
          <w:tcPr>
            <w:tcW w:w="1514" w:type="dxa"/>
          </w:tcPr>
          <w:p w14:paraId="1A573203" w14:textId="1AA3519A"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47.8</w:t>
            </w:r>
          </w:p>
        </w:tc>
        <w:tc>
          <w:tcPr>
            <w:tcW w:w="1514" w:type="dxa"/>
          </w:tcPr>
          <w:p w14:paraId="1E265F67" w14:textId="5CB1B9C1"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89.5</w:t>
            </w:r>
          </w:p>
        </w:tc>
        <w:tc>
          <w:tcPr>
            <w:tcW w:w="1514" w:type="dxa"/>
          </w:tcPr>
          <w:p w14:paraId="7A09D687" w14:textId="524DFBAB"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141.2</w:t>
            </w:r>
          </w:p>
        </w:tc>
      </w:tr>
      <w:tr w:rsidR="008C07FE" w:rsidRPr="008C07FE" w14:paraId="35914727" w14:textId="6677F379" w:rsidTr="00D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0709C214" w14:textId="2EB422D5" w:rsidR="005561FC" w:rsidRPr="00D65AFC" w:rsidRDefault="005561FC" w:rsidP="005561FC">
            <w:pPr>
              <w:jc w:val="center"/>
              <w:rPr>
                <w:color w:val="000000" w:themeColor="text1"/>
              </w:rPr>
            </w:pPr>
            <w:r w:rsidRPr="00D65AFC">
              <w:rPr>
                <w:color w:val="000000" w:themeColor="text1"/>
              </w:rPr>
              <w:t>NPM</w:t>
            </w:r>
          </w:p>
        </w:tc>
        <w:tc>
          <w:tcPr>
            <w:tcW w:w="1515" w:type="dxa"/>
          </w:tcPr>
          <w:p w14:paraId="1C671E95" w14:textId="383C511F" w:rsidR="005561FC" w:rsidRPr="00D65AFC" w:rsidRDefault="005561FC"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26%</w:t>
            </w:r>
          </w:p>
        </w:tc>
        <w:tc>
          <w:tcPr>
            <w:tcW w:w="1514" w:type="dxa"/>
          </w:tcPr>
          <w:p w14:paraId="3B0CFF23" w14:textId="5985F80B"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18%</w:t>
            </w:r>
          </w:p>
        </w:tc>
        <w:tc>
          <w:tcPr>
            <w:tcW w:w="1514" w:type="dxa"/>
          </w:tcPr>
          <w:p w14:paraId="7CA4C6B7" w14:textId="419790F1"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25%</w:t>
            </w:r>
          </w:p>
        </w:tc>
        <w:tc>
          <w:tcPr>
            <w:tcW w:w="1514" w:type="dxa"/>
          </w:tcPr>
          <w:p w14:paraId="586854FD" w14:textId="4FB70493"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30%</w:t>
            </w:r>
          </w:p>
        </w:tc>
        <w:tc>
          <w:tcPr>
            <w:tcW w:w="1514" w:type="dxa"/>
          </w:tcPr>
          <w:p w14:paraId="22C461AB" w14:textId="210989E2" w:rsidR="005561FC" w:rsidRPr="00D65AFC" w:rsidRDefault="004333EE" w:rsidP="004333E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33%</w:t>
            </w:r>
          </w:p>
        </w:tc>
      </w:tr>
      <w:tr w:rsidR="005561FC" w:rsidRPr="008C07FE" w14:paraId="5F6BE8B4" w14:textId="62E3A87F" w:rsidTr="00D02A6B">
        <w:tc>
          <w:tcPr>
            <w:cnfStyle w:val="001000000000" w:firstRow="0" w:lastRow="0" w:firstColumn="1" w:lastColumn="0" w:oddVBand="0" w:evenVBand="0" w:oddHBand="0" w:evenHBand="0" w:firstRowFirstColumn="0" w:firstRowLastColumn="0" w:lastRowFirstColumn="0" w:lastRowLastColumn="0"/>
            <w:tcW w:w="1779" w:type="dxa"/>
          </w:tcPr>
          <w:p w14:paraId="21636375" w14:textId="2FD4BAAB" w:rsidR="005561FC" w:rsidRPr="00D65AFC" w:rsidRDefault="005561FC" w:rsidP="005561FC">
            <w:pPr>
              <w:jc w:val="center"/>
              <w:rPr>
                <w:color w:val="000000" w:themeColor="text1"/>
              </w:rPr>
            </w:pPr>
            <w:r w:rsidRPr="00D65AFC">
              <w:rPr>
                <w:color w:val="000000" w:themeColor="text1"/>
              </w:rPr>
              <w:t>EPS</w:t>
            </w:r>
            <w:r w:rsidR="004333EE" w:rsidRPr="00D65AFC">
              <w:rPr>
                <w:color w:val="000000" w:themeColor="text1"/>
              </w:rPr>
              <w:t>(Rs)</w:t>
            </w:r>
          </w:p>
        </w:tc>
        <w:tc>
          <w:tcPr>
            <w:tcW w:w="1515" w:type="dxa"/>
          </w:tcPr>
          <w:p w14:paraId="7CEB537F" w14:textId="74FE5BBA"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1.68</w:t>
            </w:r>
          </w:p>
        </w:tc>
        <w:tc>
          <w:tcPr>
            <w:tcW w:w="1514" w:type="dxa"/>
          </w:tcPr>
          <w:p w14:paraId="6AEF20BA" w14:textId="3CBBE4AC"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1.82</w:t>
            </w:r>
          </w:p>
        </w:tc>
        <w:tc>
          <w:tcPr>
            <w:tcW w:w="1514" w:type="dxa"/>
          </w:tcPr>
          <w:p w14:paraId="72C7677E" w14:textId="4F8AD1F1"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5.03</w:t>
            </w:r>
          </w:p>
        </w:tc>
        <w:tc>
          <w:tcPr>
            <w:tcW w:w="1514" w:type="dxa"/>
          </w:tcPr>
          <w:p w14:paraId="66DA4A93" w14:textId="0E4160E9"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8.34</w:t>
            </w:r>
          </w:p>
        </w:tc>
        <w:tc>
          <w:tcPr>
            <w:tcW w:w="1514" w:type="dxa"/>
          </w:tcPr>
          <w:p w14:paraId="52C40600" w14:textId="1010ABC2" w:rsidR="005561FC" w:rsidRPr="00D65AFC" w:rsidRDefault="004333EE" w:rsidP="004333E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11.32</w:t>
            </w:r>
          </w:p>
        </w:tc>
      </w:tr>
    </w:tbl>
    <w:p w14:paraId="26242D34" w14:textId="77777777" w:rsidR="005561FC" w:rsidRPr="008C07FE" w:rsidRDefault="005561FC">
      <w:pPr>
        <w:rPr>
          <w:b/>
          <w:bCs/>
          <w:color w:val="000000" w:themeColor="text1"/>
          <w:sz w:val="28"/>
          <w:szCs w:val="28"/>
          <w:u w:val="single"/>
        </w:rPr>
      </w:pPr>
    </w:p>
    <w:p w14:paraId="16747A98" w14:textId="52BEC375" w:rsidR="004333EE" w:rsidRPr="00D02A6B" w:rsidRDefault="004333EE" w:rsidP="003F1438">
      <w:pPr>
        <w:jc w:val="both"/>
        <w:rPr>
          <w:rFonts w:ascii="Rockwell Extra Bold" w:hAnsi="Rockwell Extra Bold"/>
          <w:b/>
          <w:bCs/>
          <w:color w:val="000000" w:themeColor="text1"/>
          <w:sz w:val="36"/>
          <w:szCs w:val="36"/>
          <w:u w:val="single"/>
        </w:rPr>
      </w:pPr>
      <w:r w:rsidRPr="00D02A6B">
        <w:rPr>
          <w:rFonts w:ascii="Rockwell Extra Bold" w:hAnsi="Rockwell Extra Bold"/>
          <w:b/>
          <w:bCs/>
          <w:color w:val="000000" w:themeColor="text1"/>
          <w:sz w:val="36"/>
          <w:szCs w:val="36"/>
          <w:u w:val="single"/>
        </w:rPr>
        <w:t>UPDATES</w:t>
      </w:r>
    </w:p>
    <w:p w14:paraId="410C268C" w14:textId="2C7CFC9D" w:rsidR="004333EE" w:rsidRPr="00D65AFC" w:rsidRDefault="004333EE" w:rsidP="003F1438">
      <w:pPr>
        <w:pStyle w:val="ListParagraph"/>
        <w:numPr>
          <w:ilvl w:val="0"/>
          <w:numId w:val="4"/>
        </w:numPr>
        <w:rPr>
          <w:color w:val="000000" w:themeColor="text1"/>
        </w:rPr>
      </w:pPr>
      <w:r w:rsidRPr="00D65AFC">
        <w:rPr>
          <w:color w:val="000000" w:themeColor="text1"/>
        </w:rPr>
        <w:t xml:space="preserve">In Early 2023, Company raised amount of INR 111 crore from an ace investor Ashish </w:t>
      </w:r>
      <w:proofErr w:type="spellStart"/>
      <w:r w:rsidRPr="00D65AFC">
        <w:rPr>
          <w:color w:val="000000" w:themeColor="text1"/>
        </w:rPr>
        <w:t>Kacholia</w:t>
      </w:r>
      <w:proofErr w:type="spellEnd"/>
      <w:r w:rsidRPr="00D65AFC">
        <w:rPr>
          <w:color w:val="000000" w:themeColor="text1"/>
        </w:rPr>
        <w:t>.</w:t>
      </w:r>
    </w:p>
    <w:p w14:paraId="3BE5572D" w14:textId="3C0F4CA4" w:rsidR="00351E50" w:rsidRPr="00766602" w:rsidRDefault="004333EE" w:rsidP="00766602">
      <w:pPr>
        <w:pStyle w:val="ListParagraph"/>
        <w:numPr>
          <w:ilvl w:val="0"/>
          <w:numId w:val="4"/>
        </w:numPr>
        <w:rPr>
          <w:color w:val="000000" w:themeColor="text1"/>
        </w:rPr>
      </w:pPr>
      <w:r w:rsidRPr="00D65AFC">
        <w:rPr>
          <w:color w:val="000000" w:themeColor="text1"/>
        </w:rPr>
        <w:t xml:space="preserve">In December 2023, Company </w:t>
      </w:r>
      <w:r w:rsidRPr="00D65AFC">
        <w:rPr>
          <w:rFonts w:eastAsia="Calibri" w:cstheme="minorHAnsi"/>
          <w:color w:val="000000" w:themeColor="text1"/>
        </w:rPr>
        <w:t xml:space="preserve">raised amount of INR 102 crore from Ashish </w:t>
      </w:r>
      <w:proofErr w:type="spellStart"/>
      <w:r w:rsidRPr="00D65AFC">
        <w:rPr>
          <w:rFonts w:eastAsia="Calibri" w:cstheme="minorHAnsi"/>
          <w:color w:val="000000" w:themeColor="text1"/>
        </w:rPr>
        <w:t>Kacholia</w:t>
      </w:r>
      <w:proofErr w:type="spellEnd"/>
      <w:r w:rsidRPr="00D65AFC">
        <w:rPr>
          <w:rFonts w:eastAsia="Calibri" w:cstheme="minorHAnsi"/>
          <w:color w:val="000000" w:themeColor="text1"/>
        </w:rPr>
        <w:t xml:space="preserve"> in the second investment round.</w:t>
      </w:r>
    </w:p>
    <w:p w14:paraId="75547844" w14:textId="77777777" w:rsidR="003F1438" w:rsidRPr="00D65AFC" w:rsidRDefault="003F1438" w:rsidP="003F1438">
      <w:pPr>
        <w:pStyle w:val="ListParagraph"/>
        <w:numPr>
          <w:ilvl w:val="0"/>
          <w:numId w:val="4"/>
        </w:numPr>
        <w:rPr>
          <w:color w:val="000000" w:themeColor="text1"/>
        </w:rPr>
      </w:pPr>
      <w:r w:rsidRPr="00D65AFC">
        <w:rPr>
          <w:color w:val="000000" w:themeColor="text1"/>
        </w:rPr>
        <w:t>PAT has grown by 107% in the last three years.</w:t>
      </w:r>
    </w:p>
    <w:p w14:paraId="1A53B285" w14:textId="4CAA56A8" w:rsidR="00351E50" w:rsidRPr="008C07FE" w:rsidRDefault="003F1438" w:rsidP="003F1438">
      <w:pPr>
        <w:rPr>
          <w:b/>
          <w:bCs/>
          <w:color w:val="000000" w:themeColor="text1"/>
          <w:sz w:val="32"/>
          <w:szCs w:val="32"/>
          <w:u w:val="single"/>
        </w:rPr>
      </w:pPr>
      <w:r w:rsidRPr="008C07FE">
        <w:rPr>
          <w:b/>
          <w:bCs/>
          <w:color w:val="000000" w:themeColor="text1"/>
          <w:sz w:val="32"/>
          <w:szCs w:val="32"/>
          <w:u w:val="single"/>
        </w:rPr>
        <w:t xml:space="preserve"> </w:t>
      </w:r>
      <w:r w:rsidR="00351E50" w:rsidRPr="00D02A6B">
        <w:rPr>
          <w:rFonts w:ascii="Rockwell Extra Bold" w:hAnsi="Rockwell Extra Bold"/>
          <w:b/>
          <w:bCs/>
          <w:color w:val="000000" w:themeColor="text1"/>
          <w:sz w:val="32"/>
          <w:szCs w:val="32"/>
          <w:u w:val="single"/>
        </w:rPr>
        <w:t>SHAREHOLDING</w:t>
      </w:r>
      <w:r w:rsidR="00351E50" w:rsidRPr="008C07FE">
        <w:rPr>
          <w:b/>
          <w:bCs/>
          <w:color w:val="000000" w:themeColor="text1"/>
          <w:sz w:val="32"/>
          <w:szCs w:val="32"/>
          <w:u w:val="single"/>
        </w:rPr>
        <w:t xml:space="preserve"> </w:t>
      </w:r>
      <w:r w:rsidR="00351E50" w:rsidRPr="00D02A6B">
        <w:rPr>
          <w:rFonts w:ascii="Rockwell Extra Bold" w:hAnsi="Rockwell Extra Bold"/>
          <w:b/>
          <w:bCs/>
          <w:color w:val="000000" w:themeColor="text1"/>
          <w:sz w:val="32"/>
          <w:szCs w:val="32"/>
          <w:u w:val="single"/>
        </w:rPr>
        <w:t>PATTERN</w:t>
      </w:r>
    </w:p>
    <w:p w14:paraId="1BC6C852" w14:textId="1532FBF6" w:rsidR="00351E50" w:rsidRPr="008C07FE" w:rsidRDefault="00351E50" w:rsidP="00351E50">
      <w:pPr>
        <w:pStyle w:val="ListParagraph"/>
        <w:rPr>
          <w:b/>
          <w:bCs/>
          <w:color w:val="000000" w:themeColor="text1"/>
          <w:sz w:val="28"/>
          <w:szCs w:val="28"/>
          <w:u w:val="single"/>
        </w:rPr>
      </w:pPr>
    </w:p>
    <w:tbl>
      <w:tblPr>
        <w:tblStyle w:val="GridTable4-Accent5"/>
        <w:tblW w:w="0" w:type="auto"/>
        <w:tblLook w:val="04A0" w:firstRow="1" w:lastRow="0" w:firstColumn="1" w:lastColumn="0" w:noHBand="0" w:noVBand="1"/>
      </w:tblPr>
      <w:tblGrid>
        <w:gridCol w:w="4675"/>
        <w:gridCol w:w="4675"/>
      </w:tblGrid>
      <w:tr w:rsidR="008C07FE" w:rsidRPr="008C07FE" w14:paraId="2F00C737" w14:textId="77777777" w:rsidTr="00D02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DB77B3" w14:textId="01EF2A54" w:rsidR="00351E50" w:rsidRPr="008C07FE" w:rsidRDefault="00351E50" w:rsidP="00351E50">
            <w:pPr>
              <w:pStyle w:val="ListParagraph"/>
              <w:ind w:left="0"/>
              <w:jc w:val="center"/>
              <w:rPr>
                <w:b w:val="0"/>
                <w:bCs w:val="0"/>
                <w:color w:val="000000" w:themeColor="text1"/>
                <w:sz w:val="28"/>
                <w:szCs w:val="28"/>
                <w:u w:val="single"/>
              </w:rPr>
            </w:pPr>
            <w:r w:rsidRPr="008C07FE">
              <w:rPr>
                <w:color w:val="000000" w:themeColor="text1"/>
                <w:sz w:val="28"/>
                <w:szCs w:val="28"/>
                <w:u w:val="single"/>
              </w:rPr>
              <w:t>Shareholder</w:t>
            </w:r>
          </w:p>
        </w:tc>
        <w:tc>
          <w:tcPr>
            <w:tcW w:w="4675" w:type="dxa"/>
          </w:tcPr>
          <w:p w14:paraId="208BD1EA" w14:textId="284B1EDD" w:rsidR="00351E50" w:rsidRPr="008C07FE" w:rsidRDefault="00351E50" w:rsidP="00351E50">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u w:val="single"/>
              </w:rPr>
            </w:pPr>
            <w:r w:rsidRPr="008C07FE">
              <w:rPr>
                <w:color w:val="000000" w:themeColor="text1"/>
                <w:sz w:val="28"/>
                <w:szCs w:val="28"/>
                <w:u w:val="single"/>
              </w:rPr>
              <w:t>Holding (%)</w:t>
            </w:r>
          </w:p>
        </w:tc>
      </w:tr>
      <w:tr w:rsidR="008C07FE" w:rsidRPr="008C07FE" w14:paraId="21806DD4" w14:textId="77777777" w:rsidTr="00D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BE74E37" w14:textId="789AB9FB" w:rsidR="00351E50" w:rsidRPr="00D65AFC" w:rsidRDefault="00351E50" w:rsidP="00351E50">
            <w:pPr>
              <w:pStyle w:val="ListParagraph"/>
              <w:ind w:left="0"/>
              <w:rPr>
                <w:color w:val="000000" w:themeColor="text1"/>
              </w:rPr>
            </w:pPr>
            <w:r w:rsidRPr="00D65AFC">
              <w:rPr>
                <w:color w:val="000000" w:themeColor="text1"/>
              </w:rPr>
              <w:t>Atul Gupta</w:t>
            </w:r>
          </w:p>
        </w:tc>
        <w:tc>
          <w:tcPr>
            <w:tcW w:w="4675" w:type="dxa"/>
          </w:tcPr>
          <w:p w14:paraId="03B06788" w14:textId="1EDBE873" w:rsidR="00351E50" w:rsidRPr="00D65AFC" w:rsidRDefault="00351E50" w:rsidP="00351E5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21.79%</w:t>
            </w:r>
          </w:p>
        </w:tc>
      </w:tr>
      <w:tr w:rsidR="008C07FE" w:rsidRPr="008C07FE" w14:paraId="4606CA26" w14:textId="77777777" w:rsidTr="00D02A6B">
        <w:tc>
          <w:tcPr>
            <w:cnfStyle w:val="001000000000" w:firstRow="0" w:lastRow="0" w:firstColumn="1" w:lastColumn="0" w:oddVBand="0" w:evenVBand="0" w:oddHBand="0" w:evenHBand="0" w:firstRowFirstColumn="0" w:firstRowLastColumn="0" w:lastRowFirstColumn="0" w:lastRowLastColumn="0"/>
            <w:tcW w:w="4675" w:type="dxa"/>
          </w:tcPr>
          <w:p w14:paraId="570211F1" w14:textId="5781753F" w:rsidR="00351E50" w:rsidRPr="00D65AFC" w:rsidRDefault="00351E50" w:rsidP="00351E50">
            <w:pPr>
              <w:pStyle w:val="ListParagraph"/>
              <w:ind w:left="0"/>
              <w:rPr>
                <w:color w:val="000000" w:themeColor="text1"/>
              </w:rPr>
            </w:pPr>
            <w:r w:rsidRPr="00D65AFC">
              <w:rPr>
                <w:color w:val="000000" w:themeColor="text1"/>
              </w:rPr>
              <w:t>Arpit Khandelwal</w:t>
            </w:r>
          </w:p>
        </w:tc>
        <w:tc>
          <w:tcPr>
            <w:tcW w:w="4675" w:type="dxa"/>
          </w:tcPr>
          <w:p w14:paraId="05771FAC" w14:textId="50E1F067" w:rsidR="00351E50" w:rsidRPr="00D65AFC" w:rsidRDefault="00351E50" w:rsidP="00351E5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18.48%</w:t>
            </w:r>
          </w:p>
        </w:tc>
      </w:tr>
      <w:tr w:rsidR="008C07FE" w:rsidRPr="008C07FE" w14:paraId="03284019" w14:textId="77777777" w:rsidTr="00D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D85E448" w14:textId="173BB7A8" w:rsidR="00351E50" w:rsidRPr="00D65AFC" w:rsidRDefault="00351E50" w:rsidP="00351E50">
            <w:pPr>
              <w:pStyle w:val="ListParagraph"/>
              <w:ind w:left="0"/>
              <w:rPr>
                <w:color w:val="000000" w:themeColor="text1"/>
              </w:rPr>
            </w:pPr>
            <w:r w:rsidRPr="00D65AFC">
              <w:rPr>
                <w:color w:val="000000" w:themeColor="text1"/>
              </w:rPr>
              <w:t>Madhulika Agarwal</w:t>
            </w:r>
          </w:p>
        </w:tc>
        <w:tc>
          <w:tcPr>
            <w:tcW w:w="4675" w:type="dxa"/>
          </w:tcPr>
          <w:p w14:paraId="649354C7" w14:textId="6ED2BCAB" w:rsidR="00351E50" w:rsidRPr="00D65AFC" w:rsidRDefault="00351E50" w:rsidP="00351E5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7.87%</w:t>
            </w:r>
          </w:p>
        </w:tc>
      </w:tr>
      <w:tr w:rsidR="008C07FE" w:rsidRPr="008C07FE" w14:paraId="4E158E75" w14:textId="77777777" w:rsidTr="00D02A6B">
        <w:tc>
          <w:tcPr>
            <w:cnfStyle w:val="001000000000" w:firstRow="0" w:lastRow="0" w:firstColumn="1" w:lastColumn="0" w:oddVBand="0" w:evenVBand="0" w:oddHBand="0" w:evenHBand="0" w:firstRowFirstColumn="0" w:firstRowLastColumn="0" w:lastRowFirstColumn="0" w:lastRowLastColumn="0"/>
            <w:tcW w:w="4675" w:type="dxa"/>
          </w:tcPr>
          <w:p w14:paraId="3A2F9E7A" w14:textId="766D2CB1" w:rsidR="00351E50" w:rsidRPr="00D65AFC" w:rsidRDefault="00351E50" w:rsidP="00351E50">
            <w:pPr>
              <w:pStyle w:val="ListParagraph"/>
              <w:ind w:left="0"/>
              <w:rPr>
                <w:color w:val="000000" w:themeColor="text1"/>
              </w:rPr>
            </w:pPr>
            <w:r w:rsidRPr="00D65AFC">
              <w:rPr>
                <w:color w:val="000000" w:themeColor="text1"/>
              </w:rPr>
              <w:t xml:space="preserve">Ashish </w:t>
            </w:r>
            <w:proofErr w:type="spellStart"/>
            <w:r w:rsidRPr="00D65AFC">
              <w:rPr>
                <w:color w:val="000000" w:themeColor="text1"/>
              </w:rPr>
              <w:t>Kacholia</w:t>
            </w:r>
            <w:proofErr w:type="spellEnd"/>
          </w:p>
        </w:tc>
        <w:tc>
          <w:tcPr>
            <w:tcW w:w="4675" w:type="dxa"/>
          </w:tcPr>
          <w:p w14:paraId="4FDF8C48" w14:textId="66A1F8CD" w:rsidR="00351E50" w:rsidRPr="00D65AFC" w:rsidRDefault="00351E50" w:rsidP="00351E5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7.8%</w:t>
            </w:r>
          </w:p>
        </w:tc>
      </w:tr>
      <w:tr w:rsidR="008C07FE" w:rsidRPr="008C07FE" w14:paraId="184D6AB8" w14:textId="77777777" w:rsidTr="00D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06F25A" w14:textId="61B94851" w:rsidR="00351E50" w:rsidRPr="00D65AFC" w:rsidRDefault="00351E50" w:rsidP="00351E50">
            <w:pPr>
              <w:pStyle w:val="ListParagraph"/>
              <w:ind w:left="0"/>
              <w:rPr>
                <w:color w:val="000000" w:themeColor="text1"/>
              </w:rPr>
            </w:pPr>
            <w:r w:rsidRPr="00D65AFC">
              <w:rPr>
                <w:color w:val="000000" w:themeColor="text1"/>
              </w:rPr>
              <w:t>Orbis Foundation</w:t>
            </w:r>
          </w:p>
        </w:tc>
        <w:tc>
          <w:tcPr>
            <w:tcW w:w="4675" w:type="dxa"/>
          </w:tcPr>
          <w:p w14:paraId="218C23FD" w14:textId="0B00B95A" w:rsidR="00351E50" w:rsidRPr="00D65AFC" w:rsidRDefault="00351E50" w:rsidP="00351E5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5.77%</w:t>
            </w:r>
          </w:p>
        </w:tc>
      </w:tr>
      <w:tr w:rsidR="008C07FE" w:rsidRPr="008C07FE" w14:paraId="34B629F4" w14:textId="77777777" w:rsidTr="00D02A6B">
        <w:tc>
          <w:tcPr>
            <w:cnfStyle w:val="001000000000" w:firstRow="0" w:lastRow="0" w:firstColumn="1" w:lastColumn="0" w:oddVBand="0" w:evenVBand="0" w:oddHBand="0" w:evenHBand="0" w:firstRowFirstColumn="0" w:firstRowLastColumn="0" w:lastRowFirstColumn="0" w:lastRowLastColumn="0"/>
            <w:tcW w:w="4675" w:type="dxa"/>
          </w:tcPr>
          <w:p w14:paraId="12080D5D" w14:textId="321B2DE4" w:rsidR="00351E50" w:rsidRPr="00D65AFC" w:rsidRDefault="00351E50" w:rsidP="00351E50">
            <w:pPr>
              <w:pStyle w:val="ListParagraph"/>
              <w:ind w:left="0"/>
              <w:rPr>
                <w:color w:val="000000" w:themeColor="text1"/>
              </w:rPr>
            </w:pPr>
            <w:r w:rsidRPr="00D65AFC">
              <w:rPr>
                <w:color w:val="000000" w:themeColor="text1"/>
              </w:rPr>
              <w:t>Plutus Wealth Management LLP</w:t>
            </w:r>
          </w:p>
        </w:tc>
        <w:tc>
          <w:tcPr>
            <w:tcW w:w="4675" w:type="dxa"/>
          </w:tcPr>
          <w:p w14:paraId="59F55B23" w14:textId="05170542" w:rsidR="00351E50" w:rsidRPr="00D65AFC" w:rsidRDefault="00351E50" w:rsidP="00351E5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D65AFC">
              <w:rPr>
                <w:color w:val="000000" w:themeColor="text1"/>
              </w:rPr>
              <w:t>6.20%</w:t>
            </w:r>
          </w:p>
        </w:tc>
      </w:tr>
      <w:tr w:rsidR="00351E50" w:rsidRPr="008C07FE" w14:paraId="6C573878" w14:textId="77777777" w:rsidTr="00D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36F7DC" w14:textId="02B86B7B" w:rsidR="00351E50" w:rsidRPr="00D65AFC" w:rsidRDefault="00351E50" w:rsidP="00351E50">
            <w:pPr>
              <w:pStyle w:val="ListParagraph"/>
              <w:ind w:left="0"/>
              <w:rPr>
                <w:color w:val="000000" w:themeColor="text1"/>
              </w:rPr>
            </w:pPr>
            <w:r w:rsidRPr="00D65AFC">
              <w:rPr>
                <w:color w:val="000000" w:themeColor="text1"/>
              </w:rPr>
              <w:t>Others</w:t>
            </w:r>
          </w:p>
        </w:tc>
        <w:tc>
          <w:tcPr>
            <w:tcW w:w="4675" w:type="dxa"/>
          </w:tcPr>
          <w:p w14:paraId="4FCFA76F" w14:textId="7625B94B" w:rsidR="00351E50" w:rsidRPr="00D65AFC" w:rsidRDefault="00351E50" w:rsidP="00351E5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D65AFC">
              <w:rPr>
                <w:color w:val="000000" w:themeColor="text1"/>
              </w:rPr>
              <w:t>32.08%</w:t>
            </w:r>
          </w:p>
        </w:tc>
      </w:tr>
    </w:tbl>
    <w:p w14:paraId="0BE34771" w14:textId="4481CCE7" w:rsidR="00BC23F2" w:rsidRPr="00BC23F2" w:rsidRDefault="008B557C" w:rsidP="00BC23F2">
      <w:pPr>
        <w:tabs>
          <w:tab w:val="left" w:pos="1298"/>
        </w:tabs>
        <w:rPr>
          <w:sz w:val="28"/>
          <w:szCs w:val="28"/>
        </w:rPr>
      </w:pPr>
      <w:r>
        <w:rPr>
          <w:noProof/>
        </w:rPr>
        <mc:AlternateContent>
          <mc:Choice Requires="wps">
            <w:drawing>
              <wp:anchor distT="0" distB="0" distL="114300" distR="114300" simplePos="0" relativeHeight="251670528" behindDoc="0" locked="0" layoutInCell="1" allowOverlap="1" wp14:anchorId="3D208FF7" wp14:editId="429E91A9">
                <wp:simplePos x="0" y="0"/>
                <wp:positionH relativeFrom="margin">
                  <wp:align>center</wp:align>
                </wp:positionH>
                <wp:positionV relativeFrom="paragraph">
                  <wp:posOffset>1137920</wp:posOffset>
                </wp:positionV>
                <wp:extent cx="7552690" cy="464820"/>
                <wp:effectExtent l="0" t="0" r="0" b="0"/>
                <wp:wrapNone/>
                <wp:docPr id="246417616" name="Text Box 1"/>
                <wp:cNvGraphicFramePr/>
                <a:graphic xmlns:a="http://schemas.openxmlformats.org/drawingml/2006/main">
                  <a:graphicData uri="http://schemas.microsoft.com/office/word/2010/wordprocessingShape">
                    <wps:wsp>
                      <wps:cNvSpPr txBox="1"/>
                      <wps:spPr>
                        <a:xfrm>
                          <a:off x="0" y="0"/>
                          <a:ext cx="7552690" cy="464820"/>
                        </a:xfrm>
                        <a:prstGeom prst="rect">
                          <a:avLst/>
                        </a:prstGeom>
                        <a:noFill/>
                        <a:ln>
                          <a:noFill/>
                        </a:ln>
                      </wps:spPr>
                      <wps:txbx>
                        <w:txbxContent>
                          <w:p w14:paraId="1D4FDD74" w14:textId="77777777" w:rsidR="00766602" w:rsidRPr="006133A6" w:rsidRDefault="00766602" w:rsidP="00766602">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1BEF6E81" w14:textId="77777777" w:rsidR="00766602" w:rsidRPr="00B06097" w:rsidRDefault="00766602" w:rsidP="00766602">
                            <w:pPr>
                              <w:pStyle w:val="NormalWeb"/>
                              <w:jc w:val="center"/>
                              <w:rPr>
                                <w:rFonts w:ascii="Calibri" w:hAnsi="Calibri" w:cs="Calibri"/>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B5989" w14:textId="1681D60C" w:rsidR="00D65AFC" w:rsidRPr="00766602" w:rsidRDefault="00D65AFC" w:rsidP="00766602">
                            <w:pPr>
                              <w:pStyle w:val="ListParagraph"/>
                              <w:spacing w:after="0" w:line="240" w:lineRule="auto"/>
                              <w:rPr>
                                <w:color w:val="000000" w:themeColor="text1"/>
                                <w:sz w:val="72"/>
                                <w:szCs w:val="7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08FF7" id="_x0000_t202" coordsize="21600,21600" o:spt="202" path="m,l,21600r21600,l21600,xe">
                <v:stroke joinstyle="miter"/>
                <v:path gradientshapeok="t" o:connecttype="rect"/>
              </v:shapetype>
              <v:shape id="Text Box 1" o:spid="_x0000_s1026" type="#_x0000_t202" style="position:absolute;margin-left:0;margin-top:89.6pt;width:594.7pt;height:36.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" filled="f" stroked="f">
                <v:textbox>
                  <w:txbxContent>
                    <w:p w14:paraId="1D4FDD74" w14:textId="77777777" w:rsidR="00766602" w:rsidRPr="006133A6" w:rsidRDefault="00766602" w:rsidP="00766602">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1BEF6E81" w14:textId="77777777" w:rsidR="00766602" w:rsidRPr="00B06097" w:rsidRDefault="00766602" w:rsidP="00766602">
                      <w:pPr>
                        <w:pStyle w:val="NormalWeb"/>
                        <w:jc w:val="center"/>
                        <w:rPr>
                          <w:rFonts w:ascii="Calibri" w:hAnsi="Calibri" w:cs="Calibri"/>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B5989" w14:textId="1681D60C" w:rsidR="00D65AFC" w:rsidRPr="00766602" w:rsidRDefault="00D65AFC" w:rsidP="00766602">
                      <w:pPr>
                        <w:pStyle w:val="ListParagraph"/>
                        <w:spacing w:after="0" w:line="240" w:lineRule="auto"/>
                        <w:rPr>
                          <w:color w:val="000000" w:themeColor="text1"/>
                          <w:sz w:val="72"/>
                          <w:szCs w:val="7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EDDFAD1" wp14:editId="18D7FC76">
                <wp:simplePos x="0" y="0"/>
                <wp:positionH relativeFrom="page">
                  <wp:posOffset>0</wp:posOffset>
                </wp:positionH>
                <wp:positionV relativeFrom="paragraph">
                  <wp:posOffset>1130935</wp:posOffset>
                </wp:positionV>
                <wp:extent cx="7759065" cy="463550"/>
                <wp:effectExtent l="0" t="0" r="13335" b="12700"/>
                <wp:wrapNone/>
                <wp:docPr id="471674700" name="Rectangle 5"/>
                <wp:cNvGraphicFramePr/>
                <a:graphic xmlns:a="http://schemas.openxmlformats.org/drawingml/2006/main">
                  <a:graphicData uri="http://schemas.microsoft.com/office/word/2010/wordprocessingShape">
                    <wps:wsp>
                      <wps:cNvSpPr/>
                      <wps:spPr>
                        <a:xfrm>
                          <a:off x="0" y="0"/>
                          <a:ext cx="7759065" cy="463550"/>
                        </a:xfrm>
                        <a:prstGeom prst="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B51C5" id="Rectangle 5" o:spid="_x0000_s1026" style="position:absolute;margin-left:0;margin-top:89.05pt;width:610.95pt;height:3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" fillcolor="#2e74b5 [2408]" strokecolor="#2e74b5 [2408]" strokeweight="1pt">
                <w10:wrap anchorx="page"/>
              </v:rect>
            </w:pict>
          </mc:Fallback>
        </mc:AlternateContent>
      </w:r>
    </w:p>
    <w:sectPr w:rsidR="00BC23F2" w:rsidRPr="00BC23F2" w:rsidSect="00766602">
      <w:headerReference w:type="even" r:id="rId15"/>
      <w:headerReference w:type="default" r:id="rId16"/>
      <w:headerReference w:type="first" r:id="rId17"/>
      <w:pgSz w:w="12240" w:h="15840"/>
      <w:pgMar w:top="108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2266" w14:textId="77777777" w:rsidR="00C17C38" w:rsidRDefault="00C17C38" w:rsidP="003F1438">
      <w:pPr>
        <w:spacing w:after="0" w:line="240" w:lineRule="auto"/>
      </w:pPr>
      <w:r>
        <w:separator/>
      </w:r>
    </w:p>
  </w:endnote>
  <w:endnote w:type="continuationSeparator" w:id="0">
    <w:p w14:paraId="265F5439" w14:textId="77777777" w:rsidR="00C17C38" w:rsidRDefault="00C17C38" w:rsidP="003F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30C4" w14:textId="77777777" w:rsidR="00C17C38" w:rsidRDefault="00C17C38" w:rsidP="003F1438">
      <w:pPr>
        <w:spacing w:after="0" w:line="240" w:lineRule="auto"/>
      </w:pPr>
      <w:r>
        <w:separator/>
      </w:r>
    </w:p>
  </w:footnote>
  <w:footnote w:type="continuationSeparator" w:id="0">
    <w:p w14:paraId="2026B012" w14:textId="77777777" w:rsidR="00C17C38" w:rsidRDefault="00C17C38" w:rsidP="003F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4E6A" w14:textId="72367AB7" w:rsidR="00BC23F2" w:rsidRDefault="00000000">
    <w:pPr>
      <w:pStyle w:val="Header"/>
    </w:pPr>
    <w:r>
      <w:rPr>
        <w:noProof/>
      </w:rPr>
      <w:pict w14:anchorId="2C6D2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659297" o:spid="_x0000_s1026" type="#_x0000_t136" style="position:absolute;margin-left:0;margin-top:0;width:777.6pt;height:146.4pt;rotation:315;z-index:-251655168;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07FE" w14:textId="4A05A8E1" w:rsidR="00BC23F2" w:rsidRDefault="00000000">
    <w:pPr>
      <w:pStyle w:val="Header"/>
    </w:pPr>
    <w:r>
      <w:rPr>
        <w:noProof/>
      </w:rPr>
      <w:pict w14:anchorId="72EB5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659298" o:spid="_x0000_s1027" type="#_x0000_t136" style="position:absolute;margin-left:0;margin-top:0;width:777.6pt;height:146.4pt;rotation:315;z-index:-251653120;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50C8" w14:textId="0D4103F1" w:rsidR="00BC23F2" w:rsidRDefault="00000000">
    <w:pPr>
      <w:pStyle w:val="Header"/>
    </w:pPr>
    <w:r>
      <w:rPr>
        <w:noProof/>
      </w:rPr>
      <w:pict w14:anchorId="46498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659296" o:spid="_x0000_s1025" type="#_x0000_t136" style="position:absolute;margin-left:0;margin-top:0;width:777.6pt;height:146.4pt;rotation:315;z-index:-251657216;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4C0"/>
    <w:multiLevelType w:val="hybridMultilevel"/>
    <w:tmpl w:val="89CA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935CB"/>
    <w:multiLevelType w:val="hybridMultilevel"/>
    <w:tmpl w:val="6B4834F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3463BC"/>
    <w:multiLevelType w:val="hybridMultilevel"/>
    <w:tmpl w:val="E518762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C82865"/>
    <w:multiLevelType w:val="hybridMultilevel"/>
    <w:tmpl w:val="7C3EC85E"/>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877355">
    <w:abstractNumId w:val="0"/>
  </w:num>
  <w:num w:numId="2" w16cid:durableId="1852530723">
    <w:abstractNumId w:val="2"/>
  </w:num>
  <w:num w:numId="3" w16cid:durableId="2089887887">
    <w:abstractNumId w:val="1"/>
  </w:num>
  <w:num w:numId="4" w16cid:durableId="169175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C1"/>
    <w:rsid w:val="000B7234"/>
    <w:rsid w:val="002C4FF5"/>
    <w:rsid w:val="002F7CB6"/>
    <w:rsid w:val="00331EFB"/>
    <w:rsid w:val="00351E50"/>
    <w:rsid w:val="003537A4"/>
    <w:rsid w:val="003F1438"/>
    <w:rsid w:val="004333EE"/>
    <w:rsid w:val="004739F5"/>
    <w:rsid w:val="0055489F"/>
    <w:rsid w:val="005561FC"/>
    <w:rsid w:val="00560DC1"/>
    <w:rsid w:val="005C5518"/>
    <w:rsid w:val="00766602"/>
    <w:rsid w:val="0077428C"/>
    <w:rsid w:val="007B3038"/>
    <w:rsid w:val="008B557C"/>
    <w:rsid w:val="008C07FE"/>
    <w:rsid w:val="00982B89"/>
    <w:rsid w:val="009E4405"/>
    <w:rsid w:val="009F65EA"/>
    <w:rsid w:val="00AF7F8D"/>
    <w:rsid w:val="00BC23F2"/>
    <w:rsid w:val="00C07A0B"/>
    <w:rsid w:val="00C17C38"/>
    <w:rsid w:val="00CC2C70"/>
    <w:rsid w:val="00D02A6B"/>
    <w:rsid w:val="00D625A2"/>
    <w:rsid w:val="00D65AFC"/>
    <w:rsid w:val="00D70262"/>
    <w:rsid w:val="00ED398C"/>
    <w:rsid w:val="00F5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E644"/>
  <w15:chartTrackingRefBased/>
  <w15:docId w15:val="{A44AC285-484B-4AA3-B7BD-BDC9F9E8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02"/>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7A0B"/>
    <w:rPr>
      <w:color w:val="0000FF"/>
      <w:u w:val="single"/>
    </w:rPr>
  </w:style>
  <w:style w:type="table" w:styleId="TableGrid">
    <w:name w:val="Table Grid"/>
    <w:basedOn w:val="TableNormal"/>
    <w:uiPriority w:val="39"/>
    <w:rsid w:val="00556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3EE"/>
    <w:pPr>
      <w:ind w:left="720"/>
      <w:contextualSpacing/>
    </w:pPr>
    <w:rPr>
      <w:lang w:val="en-US"/>
    </w:rPr>
  </w:style>
  <w:style w:type="paragraph" w:styleId="Header">
    <w:name w:val="header"/>
    <w:basedOn w:val="Normal"/>
    <w:link w:val="HeaderChar"/>
    <w:uiPriority w:val="99"/>
    <w:unhideWhenUsed/>
    <w:rsid w:val="003F143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3F1438"/>
  </w:style>
  <w:style w:type="paragraph" w:styleId="Footer">
    <w:name w:val="footer"/>
    <w:basedOn w:val="Normal"/>
    <w:link w:val="FooterChar"/>
    <w:uiPriority w:val="99"/>
    <w:unhideWhenUsed/>
    <w:rsid w:val="003F1438"/>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3F1438"/>
  </w:style>
  <w:style w:type="paragraph" w:styleId="NormalWeb">
    <w:name w:val="Normal (Web)"/>
    <w:basedOn w:val="Normal"/>
    <w:uiPriority w:val="99"/>
    <w:unhideWhenUsed/>
    <w:rsid w:val="007666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GridTable4-Accent6">
    <w:name w:val="Grid Table 4 Accent 6"/>
    <w:basedOn w:val="TableNormal"/>
    <w:uiPriority w:val="49"/>
    <w:rsid w:val="00D02A6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5">
    <w:name w:val="Grid Table 5 Dark Accent 5"/>
    <w:basedOn w:val="TableNormal"/>
    <w:uiPriority w:val="50"/>
    <w:rsid w:val="00D02A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D02A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5411">
      <w:bodyDiv w:val="1"/>
      <w:marLeft w:val="0"/>
      <w:marRight w:val="0"/>
      <w:marTop w:val="0"/>
      <w:marBottom w:val="0"/>
      <w:divBdr>
        <w:top w:val="none" w:sz="0" w:space="0" w:color="auto"/>
        <w:left w:val="none" w:sz="0" w:space="0" w:color="auto"/>
        <w:bottom w:val="none" w:sz="0" w:space="0" w:color="auto"/>
        <w:right w:val="none" w:sz="0" w:space="0" w:color="auto"/>
      </w:divBdr>
    </w:div>
    <w:div w:id="7939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bisfinancial.in/products/designated-depository-participant-services/" TargetMode="External"/><Relationship Id="rId13" Type="http://schemas.openxmlformats.org/officeDocument/2006/relationships/hyperlink" Target="https://www.orbisfinancial.in/products/trusteeship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rbisfinancial.in/products/custody-services/fx-execu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bisfinancial.in/products/derivative-clearing-servi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rbisfinancial.in/products/fund-accounting-customer-reporting-ser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rbisfinancial.in/products/custody-depository-services/" TargetMode="External"/><Relationship Id="rId14" Type="http://schemas.openxmlformats.org/officeDocument/2006/relationships/hyperlink" Target="https://www.orbisfinancial.in/products/rta-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modi</dc:creator>
  <cp:keywords/>
  <dc:description/>
  <cp:lastModifiedBy>Accounts BOHTI</cp:lastModifiedBy>
  <cp:revision>9</cp:revision>
  <dcterms:created xsi:type="dcterms:W3CDTF">2024-11-15T04:42:00Z</dcterms:created>
  <dcterms:modified xsi:type="dcterms:W3CDTF">2025-01-16T05:52:00Z</dcterms:modified>
</cp:coreProperties>
</file>